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673a11b0f442d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31796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BEDNJA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1.493.003,65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1.440.102,05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890.739,54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931.086,56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602.264,11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509.015,49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561,93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9.923,30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1765,9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471.875,30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316.050,57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471.313,37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306.127,27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65,0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45.495,48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85.455,26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157.392,74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184,2</w:t>
            </w:r>
          </w:p>
        </w:tc>
      </w:tr>
    </w:tbl>
    <w:p>
      <w:pPr>
        <w:spacing w:before="0" w:after="0"/>
      </w:pPr>
    </w:p>
    <w:p>
      <w:r>
        <w:t xml:space="preserve">Podaci o financijskom izvještaju Izvještaj o prihodima i rashodima, primicima i izdacima, razrađen je i objašnjen kroz bilješke.</w:t>
      </w:r>
    </w:p>
    <w:p>
      <w:pPr>
        <w:pStyle w:val="ListParagraph"/>
        <w:numPr>
          <w:ilvl w:val="0"/>
          <w:numId w:val="2"/>
        </w:numPr>
      </w:pPr>
      <w:r>
        <w:t xml:space="preserve">(šifra 6)</w:t>
      </w:r>
    </w:p>
    <w:p>
      <w:r>
        <w:t xml:space="preserve">U razdoblju od 1. siječnja do 30. lipnja 2026. godine Općina Bednja ostvarila je ukupne prihode poslovanja u iznosu od 1.410.146,73 dok je proračunski korisnik Dječji vrtić ostvario prihode u iznosu od 29.955,32 (175.274,79 umanjeno za  unutar grupne transakcije u iznosu od 145.319,47) što ukupno iznosi 1.440.102,05.</w:t>
      </w:r>
    </w:p>
    <w:p>
      <w:r>
        <w:t xml:space="preserve">     2. (šifra 3)</w:t>
      </w:r>
    </w:p>
    <w:p>
      <w:r>
        <w:t xml:space="preserve">U izvještajnom razdoblju Općina Bednja ostvarila je ukupne rashode poslovanja u iznosu od  756.038,20 (901.357,67 umanjeno  za unutar grupne transakcije u iznosu od 145.319,47) dok je proračunski korisnik ostvario rashode u iznosu od 175.048,36 što ukupno iznosi 931.086,56 </w:t>
      </w:r>
    </w:p>
    <w:p>
      <w:r>
        <w:t xml:space="preserve">Slijedom navedenog u izvještajnom razdoblju ostvareno je 509.015,49 viška prihoda poslovanja (šifra X001)</w:t>
      </w:r>
    </w:p>
    <w:p>
      <w:r>
        <w:t xml:space="preserve">     3. (šifra 7)</w:t>
      </w:r>
    </w:p>
    <w:p>
      <w:r>
        <w:t xml:space="preserve">U izvještajnom razdoblju ukupni prihodi od prodaje nefinancijske imovine iznose 9.923,30 i odnose se na prihode Općine Bednja. </w:t>
      </w:r>
    </w:p>
    <w:p>
      <w:r>
        <w:t xml:space="preserve">    4. (šifra 4)</w:t>
      </w:r>
    </w:p>
    <w:p>
      <w:r>
        <w:t xml:space="preserve">U izvještajnom razdoblju ukupni rashodi za nabavu nefinancijske imovine iznose 316.050,57 i to na Općinu Bednja iznos od 316.017,60, te na proračunskog korisnika iznos od 32,97. Slijedom navedenog u izvještajnom razdoblju ostvaren je manjak prihoda od nefinancijske imovine u iznosu od 306.127,27. (šifra Y002)</w:t>
      </w:r>
    </w:p>
    <w:p>
      <w:r>
        <w:t xml:space="preserve">    5. (šifra 5)</w:t>
      </w:r>
    </w:p>
    <w:p>
      <w:r>
        <w:t xml:space="preserve">Ukupni izdaci za financijsku imovinu i otplate zajmova iznose 45.495,48. Cjelokupni iznos odnosi se na Općinu Bednja a za otplatu dugoročnog zajma za izgradnju dječjeg vrtića. </w:t>
      </w:r>
    </w:p>
    <w:p>
      <w:r>
        <w:t xml:space="preserve">U izvještajnom razdoblju ostvaren je višak prihoda i primitaka (šifra X005) u iznosu od 157.392,74 i to Općina Bednja u iznosu od 157.199,28, te dječji vrtić u iznosu od 193,46.</w:t>
      </w:r>
    </w:p>
    <w:p>
      <w:r>
        <w:t xml:space="preserve"> </w:t>
      </w:r>
    </w:p>
    <w:p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260.401,74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kraju izvještajnog razdoblja iznosi 260.401,74 od čega se gotovo sav iznos odnosi na obveze Općine Bednja odnosno 260.312,02, a na proračunskog korisnika 89,72.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Unutargrupne transakcije koje su u izvještajima eliminirane</w:t>
      </w:r>
    </w:p>
    <w:p>
      <w:r>
        <w:t xml:space="preserve">Unutar grupne transakcije koje su u izvještajnom razdoblju eliminirane evidentirane su na kontima Općine Bednja, odnosno na kontu 367 Prijenosi proračunskim korisnicima iz nadležnog proračuna za financiranje rashoda poslovanja i iznose 145.319,47, odnosno na kontima 671 Prihodi iz nadležnog proračuna za financiranje redovne djelatnosti evidentirane kod proračunskog korisnika i iznose 145.319,47.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Manjak ili višak u poslovanju grupe i pregled strukture manjka/viška po proračunskim korisnicima </w:t>
      </w:r>
    </w:p>
    <w:tbl>
      <w:tblPr>
        <w:tblStyle w:val="TableGrid"/>
        <w:tblW w:w="5000" w:type="pct"/>
      </w:tblPr>
      <w:tblGrid>
        <w:gridCol w:w="9610"/>
      </w:tblGrid>
      <w:tr>
        <w:trPr/>
        <w:tc>
          <w:tcPr>
            <w:tcW w:w="4993" w:type="pct"/>
            <w:vAlign w:val="center"/>
          </w:tcPr>
          <w:p>
            <w:r>
              <w:t xml:space="preserve"> </w:t>
            </w:r>
          </w:p>
        </w:tc>
      </w:tr>
    </w:tbl>
    <w:p>
      <w:r>
        <w:t xml:space="preserve">Manjak prihoda poslovanja unutar grupe iznosi 316.196,38.</w:t>
      </w:r>
    </w:p>
    <w:p>
      <w:r>
        <w:t xml:space="preserve">Pregled strukture manjka je slijedeći: </w:t>
      </w:r>
    </w:p>
    <w:p>
      <w:r>
        <w:rPr>
          <w:b/>
        </w:rPr>
        <w:t xml:space="preserve">Općina Bednja:    </w:t>
      </w:r>
      <w:r>
        <w:t xml:space="preserve">                                                                                                    </w:t>
      </w:r>
      <w:r>
        <w:rPr>
          <w:b/>
        </w:rPr>
        <w:t xml:space="preserve">    Dječji vrtić:</w:t>
      </w:r>
    </w:p>
    <w:p>
      <w:r>
        <w:t xml:space="preserve">X678 Ukupni prihodi i primici iznose     1.420.070,03                                                  175.274,79</w:t>
      </w:r>
    </w:p>
    <w:p>
      <w:r>
        <w:t xml:space="preserve">Y345 Ukupni rashodi i izdaci iznose       1.262,870,75                                                  175.081,33</w:t>
      </w:r>
    </w:p>
    <w:p>
      <w:r>
        <w:t xml:space="preserve">X005 Višak prihoda i primitak iznosi         157.199,28                                                        193,46</w:t>
      </w:r>
    </w:p>
    <w:p>
      <w:r>
        <w:t xml:space="preserve">Manjak prihoda i primitaka-preneseni      471.839,84                                                     1.749,28</w:t>
      </w:r>
    </w:p>
    <w:p>
      <w:r>
        <w:t xml:space="preserve">Manjak prihoda za pokriće                        314.640,56                                                     1.555,82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ecima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6ae4a0cc6d4ea4" /><Relationship Type="http://schemas.openxmlformats.org/officeDocument/2006/relationships/numbering" Target="/word/numbering.xml" Id="R8d3e8c98fd6948b4" /></Relationships>
</file>