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9b5d9a94d4d2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31796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BEDNJA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1.462.465,71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1.410.146,73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854.235,31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901.357,67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608.230,40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508.789,06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83,7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9.923,30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471.448,63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316.017,60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470.886,70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306.094,30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65,0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91.848,22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157.199,28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171,2</w:t>
            </w:r>
          </w:p>
        </w:tc>
      </w:tr>
    </w:tbl>
    <w:p>
      <w:pPr>
        <w:spacing w:before="0" w:after="0"/>
      </w:pPr>
    </w:p>
    <w:p>
      <w:r>
        <w:t xml:space="preserve">U razdoblju od 1. siječnja do 30. lipnja 2026. prihodi poslovanja ostvareni su u iznosu od 1.410.146,73. Najznačajniji prihodi ostvareni su po osnovi prihod od poreza u iznosu od 843.673,94, te pomoći od  subjekata unutar općeg proračuna u iznosu od 510.566,07.</w:t>
      </w:r>
    </w:p>
    <w:p>
      <w:r>
        <w:t xml:space="preserve">Rashodi poslovanja u razdoblju od 1. siječnja do 30. lipnja 2026. iznose 901.357,67. Najznačajniji rashodi ostvareni su na pozicijama rashoda za zaposlene u iznosu od 190.352,16, materijalni  rashodi u iznosu od 353.860,17, te rashodi za donacije u iznosu od 140.940,86.</w:t>
      </w:r>
    </w:p>
    <w:p>
      <w:r>
        <w:t xml:space="preserve">U navedenom razdoblju ostvareni su prihodi od nefinancijske imovine u iznosu od 9.923,30 i to od prodaje proizvedene dugotrajne imovine u iznosu od 8.299,30, te neproizvedene dugotrajne imovine u iznosu od 1.624,00.  </w:t>
      </w:r>
    </w:p>
    <w:p>
      <w:r>
        <w:t xml:space="preserve">Ukupni rashodi za nabavu nefinancijske imovine iznose 316.017,60. Najznačajniji dio sredstava evidentiran je za nabavku proizvedene dugotrajne imovine-izgradnja građevinskih objekata. </w:t>
      </w:r>
    </w:p>
    <w:p>
      <w:r>
        <w:t xml:space="preserve">U navedenom razdoblju nije bilo prihoda po osnovi financijske imovine i zaduživanja dok su izdaci za financijsku imovinu i otplatu zajmova iznosili 45.495,48, a odnose se na plaćanje rata kredita za izgradnju dječjeg vrtića. </w:t>
      </w:r>
    </w:p>
    <w:p>
      <w:r>
        <w:t xml:space="preserve">U razdoblju od 1. siječnja do 31. ožujka 2026. ostvaren je višak prihoda poslovanja u iznosu od 508.789,06, manjak prihoda od nefinancijske imovine u iznosu od 306.094,30, te manjak od financijske imovine i zaduživanja u iznosu od 45.495,48, slijedom čega je na kraju izvještajnog razdoblja ostvaren ukupni višak prihoda i primitaka u iznosu od 157.199,28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613.568,54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510.566,07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83,2</w:t>
            </w:r>
          </w:p>
        </w:tc>
      </w:tr>
    </w:tbl>
    <w:p>
      <w:pPr>
        <w:spacing w:before="0" w:after="0"/>
      </w:pPr>
    </w:p>
    <w:p>
      <w:r>
        <w:t xml:space="preserve">Pomoći iz inozemstva i od subjekata općeg proračuna prihodovane su u iznosu od 510.566,07 što je 83,2% u odnosu na isto izvještajno razdoblje u 2025. godini.</w:t>
      </w:r>
    </w:p>
    <w:p>
      <w:r>
        <w:t xml:space="preserve">Prihodovana su sredstva po slijedećim osnovama: </w:t>
      </w:r>
    </w:p>
    <w:p>
      <w:r>
        <w:t xml:space="preserve">-6331-tekuće pomoći proračunu u iznosu od 60.879,00</w:t>
      </w:r>
    </w:p>
    <w:p>
      <w:r>
        <w:t xml:space="preserve">-6341-tekuće pomoći od izvanproračunskih korisnika u iznosu od 46.952,59</w:t>
      </w:r>
    </w:p>
    <w:p>
      <w:r>
        <w:t xml:space="preserve">-6353-pomoći fiskalnog izravnanja u iznosu od 325.171,02</w:t>
      </w:r>
    </w:p>
    <w:p>
      <w:r>
        <w:t xml:space="preserve">-6381-tekuće pomoći temeljem prijenosa EU sredstava u iznosu od 106.152,15</w:t>
      </w:r>
    </w:p>
    <w:p>
      <w:r>
        <w:t xml:space="preserve">-6382-kapitalne pomoći temeljem prijenosa EU sredstava u iznosu od 31.330,00</w:t>
      </w:r>
    </w:p>
    <w:p>
      <w:r>
        <w:t xml:space="preserve">Za projekte koji su započeli u 2026. godini će tijekom slijedećeg razdoblja biti prihodovana sredstva a slijedom podnesenih zahtjeva i odobrenih sredstava.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od izvanproračunskih korisnika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13.992,05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46.952,59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335,6</w:t>
            </w:r>
          </w:p>
        </w:tc>
      </w:tr>
    </w:tbl>
    <w:p>
      <w:pPr>
        <w:spacing w:before="0" w:after="0"/>
      </w:pPr>
    </w:p>
    <w:p>
      <w:r>
        <w:t xml:space="preserve">U izvještajnom razdoblju prihodovana su sredstva u iznosu od 46.952,59 a kao povrat sredstava po zahtjevima za zimsko čišćenje cesta od strane Hrvatskih cesta. Razlog povećanja prihoda proizlazi iz činjenice da je u periodu 2025/2026 bilo više oborina pa stoga i više rashoda za navedene aktivnosti. Sukladno sklopljenom ugovoru sa Hrvatskim cestama kao i predanim zahtjevima izvršeni su prihodi po toj osnovi.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92.804,58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106.152,15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114,4</w:t>
            </w:r>
          </w:p>
        </w:tc>
      </w:tr>
    </w:tbl>
    <w:p>
      <w:pPr>
        <w:spacing w:before="0" w:after="0"/>
      </w:pPr>
    </w:p>
    <w:p>
      <w:r>
        <w:t xml:space="preserve">Tekuće pomoći temeljem prijenosa EU sredstava evidentirana su u iznosu od 106.152,15 a za financiranje projekta "Zaželi" odnosno za troškove plaća i sredstava za čišćenje na tom projektu. Povećanje prihoda po toj osnovi je iz razloga što je došlo do povećanja osnovice minimalnih plača pa stoga i uvećanih zahtjeva za povrat sredstava te s toga i prihoda.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31.330,00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 navedenoj poziciji prihodovana su sredstva za izgradnju teniskih terena u Bednji u iznosu od 31.330,00</w:t>
      </w:r>
    </w:p>
    <w:p>
      <w:r>
        <w:t xml:space="preserve">Ukupni iznos koji će se sufinancirati iznosi 62.660,00.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 i upravne mjere (šifre 6811 do 6819)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2.774,24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5.717,40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206,1</w:t>
            </w:r>
          </w:p>
        </w:tc>
      </w:tr>
    </w:tbl>
    <w:p>
      <w:pPr>
        <w:spacing w:before="0" w:after="0"/>
      </w:pPr>
    </w:p>
    <w:p>
      <w:r>
        <w:t xml:space="preserve">Kazne i upravne mjere bilježe rast prihoda u odnosu na 2025. iz razloga što su u 2026. naplaćeni penali za neispunjenje ugovorne obveze u iznosu od 5.717,40 od firme Hudek Trgotrans.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155.742,18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190.352,16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122,2</w:t>
            </w:r>
          </w:p>
        </w:tc>
      </w:tr>
    </w:tbl>
    <w:p>
      <w:pPr>
        <w:spacing w:before="0" w:after="0"/>
      </w:pPr>
    </w:p>
    <w:p>
      <w:r>
        <w:t xml:space="preserve">Razlog povećanja rashoda je u činjenici da je došlo do povećanja broja zaposlenih kao i plaća zaposlenim djelatnicama na programu "Zaželi", odnosno do povećanja osnovice minimalne plaće. Sukladno povećanju osnovice došlo je i do povećanja troškova za doprinose, troškove prijevoza kao i ostalih nagrada zaposlenima.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332.741,22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353.860,17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106,3</w:t>
            </w:r>
          </w:p>
        </w:tc>
      </w:tr>
    </w:tbl>
    <w:p>
      <w:pPr>
        <w:spacing w:before="0" w:after="0"/>
      </w:pPr>
    </w:p>
    <w:p>
      <w:r>
        <w:t xml:space="preserve">Materijalni rashodi bilježe rast  u 2026. godini iz razloga što je došlo do povećanja rashoda na poziciji 3232 Usluge tekućeg i investicijskog održavanja zbog povećanja aktivnosti na zimskom čišćenju cesta.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4.441,27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11.452,32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257,9</w:t>
            </w:r>
          </w:p>
        </w:tc>
      </w:tr>
    </w:tbl>
    <w:p>
      <w:pPr>
        <w:spacing w:before="0" w:after="0"/>
      </w:pPr>
    </w:p>
    <w:p>
      <w:r>
        <w:t xml:space="preserve">Razlog povećanja rashoda u 2026. godini u odnosu na 2025. je u činjenici da su izvršene aktivnosti na upisu nerazvrstanih cesta pa su stoga slani preporučeni pozivi vlasnicima zemljišta uz nerazvrstane ceste u iznosu od 4.187,50  eura., te su poslane opomene za komunalnu naknadu kao i ostale naknade.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69.395,05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118.752,16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171,1</w:t>
            </w:r>
          </w:p>
        </w:tc>
      </w:tr>
    </w:tbl>
    <w:p>
      <w:pPr>
        <w:spacing w:before="0" w:after="0"/>
      </w:pPr>
    </w:p>
    <w:p>
      <w:r>
        <w:t xml:space="preserve">Najznačajniji iznos sredstava na toj poziciji utrošen je za: čišćenje snijega u iznosu od 56.169,75, usluge tekućeg i investicijskog održavanja cesta u iznosu od 35.247,75, te održavanje javnih površina u iznosu od 22.131,36 eura.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(šifre 351+352+353)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19.639,73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11.160,04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56,8</w:t>
            </w:r>
          </w:p>
        </w:tc>
      </w:tr>
    </w:tbl>
    <w:p>
      <w:pPr>
        <w:spacing w:before="0" w:after="0"/>
      </w:pPr>
    </w:p>
    <w:p>
      <w:r>
        <w:t xml:space="preserve">Razlog smanjenja rashoda u 2026. u odnosu na prethodnu 2025. godinu je iz razloga što su potpore poljoprivrednicima i obrtnicima isplaćene u srpnju mjesecu te stoga nisu ušli u ovo izvještajno razdoblje.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126.609,28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145.319,47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114,8</w:t>
            </w:r>
          </w:p>
        </w:tc>
      </w:tr>
    </w:tbl>
    <w:p>
      <w:pPr>
        <w:spacing w:before="0" w:after="0"/>
      </w:pPr>
    </w:p>
    <w:p>
      <w:r>
        <w:t xml:space="preserve">Prijenosi proračunskim korisnicima iz nadležnog proračuna evidentirani su u iznosu od 145.319,47, kao prijenos Dječjem vrtiću za financiranje plaća i drugog dohotka. Razlog povećanja rashoda je u činjenici da su u toku 2025. - a nakon izvještajnog razdoblja povećane plaće djelatnica, te je i povećan broj izvršioca. Zbog nedostatka vlastitih izvora financiranja, dječjem vrtiću se  za pokriće troškova od 3. mjeseca isplaćuju  i sredstva za plin i električnu energiju.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donacije, kazne, naknade šteta i kapitalne pomoći (šifre 381+382+383+386)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161.707,32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140.940,86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87,2</w:t>
            </w:r>
          </w:p>
        </w:tc>
      </w:tr>
    </w:tbl>
    <w:p>
      <w:pPr>
        <w:spacing w:before="0" w:after="0"/>
      </w:pPr>
    </w:p>
    <w:p>
      <w:r>
        <w:t xml:space="preserve">U izvještajno razdoblju od 01.01.-30.6.2026. rashodi za donacije iznose 140.940,86, što je za 20.766,46 manje u odnosu na 2025. godinu. Razlog smanjenja navedenih rashoda  je u tome što su prijenosi sredstava po ugovorima  izvršeni nakon izvještajnog razdoblja odnosno u srpnju 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neprofitnim organizacijama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57.792,14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84.918,62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146,9</w:t>
            </w:r>
          </w:p>
        </w:tc>
      </w:tr>
    </w:tbl>
    <w:p>
      <w:pPr>
        <w:spacing w:before="0" w:after="0"/>
      </w:pPr>
    </w:p>
    <w:p>
      <w:r>
        <w:t xml:space="preserve">Povećanje rashoda u 2026. godini u odnosu na 2025. proizlazi iz činjenice da je ispostavljen veći račun za izgradnju vatrogasnog doma u Vrbnu u iznosu od 83.310,49 eura.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proizvedene dugotrajne imovine (šifre 421+422+423+424+425+426)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471.448,63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316.017,60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67,0</w:t>
            </w:r>
          </w:p>
        </w:tc>
      </w:tr>
    </w:tbl>
    <w:p>
      <w:pPr>
        <w:spacing w:before="0" w:after="0"/>
      </w:pPr>
    </w:p>
    <w:p>
      <w:r>
        <w:t xml:space="preserve">Razlog smanjenja rashoda za nabavku proizvedene dugotrajne imovine je u činjenici da u 2026. godini nisu izvršeni radovi na modernizaciji nerazvrstanih cesta kao ni sanaciji klizišta, a isti će se realizirati nakon provedenih javnih nabava u narednom periodu.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PRIHODI I PRIMICI (šifre X067+8)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X678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1.463.027,64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1.420.070,03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97,1</w:t>
            </w:r>
          </w:p>
        </w:tc>
      </w:tr>
    </w:tbl>
    <w:p>
      <w:pPr>
        <w:spacing w:before="0" w:after="0"/>
      </w:pPr>
    </w:p>
    <w:p>
      <w:r>
        <w:t xml:space="preserve">Ukupni prihodi i primici iznose 1.420.070,03, a odnose se na prihode poslovanja u iznosu od 1.410.146,73, te prihode od prodaje nefinancijske imovine u iznosu od 9.923,30.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RASHODI I IZDACI (šifre Y034+5)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Y345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1.371.179,42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1.262.870,75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92,1</w:t>
            </w:r>
          </w:p>
        </w:tc>
      </w:tr>
    </w:tbl>
    <w:p>
      <w:pPr>
        <w:spacing w:before="0" w:after="0"/>
      </w:pPr>
    </w:p>
    <w:p>
      <w:r>
        <w:t xml:space="preserve">Ukupni rashodi i izdaci iznose 1.262.870,75, a odnose se na rashode poslovanja u iznosu od 901.357,67, rashode za nabavu nefinancijske imovine u iznosu od 316.017,60, te na izdatke za financijsku imovinu i otplate zajmova u iznosu od 45.495,48 eura.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91.848,22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157.199,28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171,2</w:t>
            </w:r>
          </w:p>
        </w:tc>
      </w:tr>
    </w:tbl>
    <w:p>
      <w:pPr>
        <w:spacing w:before="0" w:after="0"/>
      </w:pPr>
    </w:p>
    <w:p>
      <w:r>
        <w:t xml:space="preserve">U izvještajnom razdoblju od 01. siječnja do 30. lipnja 2026. evidentiran je višak prihoda i primitaka u iznosu od 157.199,28 kao razlika ukupnih prihoda od 1.420.070,03, te ukupnih rashoda u iznosu od 1.262.870,75. Višak prihoda ostvaren je iz činjenice da se određene investicije nisu provele u izvještajnom razdoblju ili do izvještajnog razdoblja nisu ispostavljene fakture a isto će se provesti u narednom razdoblju.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9222-9221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- preneseni (šifre '9221x,9222x MP' - '9221x,9222x VP' + 92223 - 92213)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9222-9221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309.643,64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471.839,84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152,4</w:t>
            </w:r>
          </w:p>
        </w:tc>
      </w:tr>
    </w:tbl>
    <w:p>
      <w:pPr>
        <w:spacing w:before="0" w:after="0"/>
      </w:pPr>
    </w:p>
    <w:p>
      <w:r>
        <w:t xml:space="preserve">Manjak prihoda i primitaka-preneseni iznosi 471.839,84m a isti je planiran da će se pokriti kroz naredne tri godine i to u 2026. u iznosu od 100.000,00, u 2027. u iznosu od 150.000,00, te u 2028. u iznosu od 221.839,84 eura.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217.795,42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314.640,56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144,5</w:t>
            </w:r>
          </w:p>
        </w:tc>
      </w:tr>
    </w:tbl>
    <w:p>
      <w:pPr>
        <w:spacing w:before="0" w:after="0"/>
      </w:pPr>
    </w:p>
    <w:p>
      <w:r>
        <w:t xml:space="preserve">Manjak prihoda generiran je od 2023. godine u iznosu od 265.695,58 da bi se u 2024. godini povećao za 43.948,06 i u 2025. za 162.196,20, te ukupno iznosu 471.839,84. Kada se od manjka prihoda oduzme višak tekućeg razdoblja u iznosu od 157.199,28 dobijemo manjak tekućeg razdoblja u iznosu od 314.640,56. Razlog  manjka prihoda je u činjenici da su neke investicije izvršene u većem obimu (modernizacija nerazvrstanih cesta i sanacija klizišta) kao i izgradnja kinodvorane i biciklističke infrastrukture a za njih nisu dobivena dostatna sredstva iz resornih ministarstava i fondova EU.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260.312,02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izvještajnog razdoblja od 01.01.2026.-30.6.2026.iznosi 260.312,02, a odnose se na neplaćene rashode za nabavku nefinancijske imovine, te obveza za rashode poslovanja. Najznačajniji iznos sredstava odnosi se na  radove na modernizaciji nerazvrstanih cesta, uređenje vatrogasnog doma u Vrbnu, te na rashode za izgradnju teniskog igrališta. Rashodi nisu plaćeni iz razloga što nije bilo dostatnih sredstava za njihovo plaćanje. Dio navedenih rashoda podmiren je početkom srpnja i to dio za modernizaciju cesta u iznosu od 15.292,70,  za izgradnju teniskih terena u iznosu od 42.944,71., te za izgradnju vatrogasnog doma u iznosu od 30.000,00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obrascu EU izvještaj prikazani su prihodi i rashodi:</w:t>
      </w:r>
    </w:p>
    <w:p>
      <w:r>
        <w:t xml:space="preserve">1.  po Ugovoru o dodjeli bespovratnih sredstava za projekte koji se financiraju iz Europskog socijalnog fonda plus u financijskom razdoblju 2021.-2027. pod šifrom SF 3.4.11.01.0311 "Zaželi"-Potpora i podrška". </w:t>
      </w:r>
    </w:p>
    <w:p>
      <w:r>
        <w:t xml:space="preserve">Svrha projekta je pružanje usluge potpore i podrške u svakodnevnom životu starijim osobama i osobama s invaliditetom s područja općine Bednja i Vinica. Programom je obuhvaćeno 66 pripadnika ciljne skupine. Ukupni iznos projekta je 561.000,00 i 100% je financiran bespovratnim sredstvima od čega je 85% projekta financiran sredstvima Europskog socijalnog fonda-izvor 561, a 15% je nacionalno sufinanciranje. </w:t>
      </w:r>
    </w:p>
    <w:p>
      <w:r>
        <w:t xml:space="preserve">U  izvještajnom razdoblju od 01.01.-30.06.2026. od Europskog socijalnog fonda prihodovano je 90.229,32, a rashoda je bilo 73.092,78.</w:t>
      </w:r>
    </w:p>
    <w:p>
      <w:r>
        <w:t xml:space="preserve">Od nacionalnog sufinanciranja prihodovano je 15.922,83, a rashoda je bilo 12.898,80.</w:t>
      </w:r>
    </w:p>
    <w:p>
      <w:r>
        <w:t xml:space="preserve">2. po Ugovoru o dodjeli sredstava za projekt financiran od strane Agencije za plaćanja u poljoprivredi, ribarstvu i ruralnom razvoju koji je odobren od strane LAG natječaja " I1.3.1.Potpora izgradnji i rekonstrukciji javne infrastrukture LAG područja-"Teniski tereni". Ukupni dodijeljeni iznos javne potpore za Projekt iznosi 62.660,00 eura. </w:t>
      </w:r>
    </w:p>
    <w:p>
      <w:r>
        <w:t xml:space="preserve">U  izvještajnom razdoblju od 01.01.-30.06.2026. od Europskog poljoprivrednog  fonda za ruralni razvoj  prihodovano je 25.064,00, a rashoda je bilo 25.064,00</w:t>
      </w:r>
    </w:p>
    <w:p>
      <w:r>
        <w:t xml:space="preserve">Od nacionalnog sufinanciranja prihodovano je 6.266,00 a rashoda je bilo 6.266,00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959df4fe884704" /></Relationships>
</file>