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c66212e5d41c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31796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BEDNJA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2.670.875,20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3.236.561,39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1.566.285,45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1.852.745,22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1.104.589,75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1.383.816,17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6.624,42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5.554,48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1.059.967,03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1.463.160,06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1.053.342,61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1.457.605,58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98.573,54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96.476,48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98.573,54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96.476,48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47.326,40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170.265,89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359,8</w:t>
            </w:r>
          </w:p>
        </w:tc>
      </w:tr>
    </w:tbl>
    <w:p>
      <w:pPr>
        <w:spacing w:before="0" w:after="0"/>
      </w:pPr>
    </w:p>
    <w:p>
      <w:r>
        <w:t xml:space="preserve"> </w:t>
      </w:r>
    </w:p>
    <w:p>
      <w:r>
        <w:t xml:space="preserve">Podaci o financijskom izvještaju Izvještaj o prihodima i rashodima, primicima i izdacima razrađen je i objašnjen kroz bilješke:</w:t>
      </w:r>
    </w:p>
    <w:p>
      <w:r>
        <w:t xml:space="preserve">(šifra 6) U razdoblju od 1. siječnja do 31. prosinca 2025. godine Općina Bednja ostvarila je ukupne prihode poslovanja u iznosu od 3.180.009,47 dok je proračunski korisnik Dječji vrtić ostvario prihode u iznosu od 56.551,92 (323.963,32 umanjeno za unutar grupne transakcije u iznosu od 267.411,40) što ukupno iznosi 3.236.561,39</w:t>
      </w:r>
    </w:p>
    <w:p>
      <w:r>
        <w:t xml:space="preserve">(šifra 3) U istom izvještajnom razdoblju Općina Bednja ostvarila je ukupne rashode poslovanja u iznosu od 1.521.138,88 (1.788.550,28 umanjeno ua unutar grupne transakcije u iznosu od 267.411,40) dok je proračunski korisnik ostvario rashode u iznosu od 331.606,34 što ukupno iznosi 1.852.745,22.</w:t>
      </w:r>
    </w:p>
    <w:p>
      <w:r>
        <w:t xml:space="preserve">Slijedom navedenog u izvještajnom razdoblju ostvareno je 1.383.816,47 viška prihoda poslovanja (šifra X001) od čega se na Općinu Bednja odnosi višak od 1.391.459,19, a na Proračunskog korisnika manjak od 7.643,02 eura. </w:t>
      </w:r>
    </w:p>
    <w:p>
      <w:r>
        <w:t xml:space="preserve">U izvještajnom razdoblju ukupni prihodi poslovanja od nefinancijske imovine  iznose 5.554,48 i u cijelosti se odnose na Općinu Bednja. </w:t>
      </w:r>
    </w:p>
    <w:p>
      <w:r>
        <w:t xml:space="preserve">Ukupni rashodi za nabavu nefinancijske imovine iznose 1.463.160,06 i u glavnom omjeru se odnose na Općinu Bednja tj. 99,97% odnosno 1.462.733,39 dok se iznos od 426,67 odnosi na proračunskog korisnika. tj 0,03%.</w:t>
      </w:r>
    </w:p>
    <w:p>
      <w:r>
        <w:t xml:space="preserve">Slijedom navedenog u izvještajnom razdoblju ostvaren je manjak prihoda od nefinancijske imovine u iznosu od 1.457.605,58. </w:t>
      </w:r>
    </w:p>
    <w:p>
      <w:r>
        <w:t xml:space="preserve">Ukupni izdaci za financijsku imovinu i otplate zajmova iznose 96.476,48  i u cijelosti se odnose na Općinu Bednja.  Za otplatu glavnice primljenih kredita izdvojeno je 90.990,96, te za otplatu glavnice primljenih zajmova (povrat poreza) iznos od 5.485,52 eura.</w:t>
      </w:r>
    </w:p>
    <w:p>
      <w:r>
        <w:t xml:space="preserve">Ukupni manjak na kraju izvještajnog razdoblja iznosi 170.265,89 od čega se iznos od 162.196,20 odnosi na Općinu Bednja a iznos od 8.069,69 na proračunskog korisnika dječji vrtić Zibeljko.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2.670.875,20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3.236.561,39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121,2</w:t>
            </w:r>
          </w:p>
        </w:tc>
      </w:tr>
    </w:tbl>
    <w:p>
      <w:pPr>
        <w:spacing w:before="0" w:after="0"/>
      </w:pPr>
    </w:p>
    <w:p>
      <w:r>
        <w:t xml:space="preserve">Ukupni prihodi Općine Bednja iznose 3.180.009,47  a proračunskog korisnika 323.963,32. Kad se oduzmu unutargrupne transakcije (konta 6711) u iznosu od 267.411,40 dobijemo iznos od 3.236.561,39 eura.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1.290.855,49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1.589.387,16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123,1</w:t>
            </w:r>
          </w:p>
        </w:tc>
      </w:tr>
    </w:tbl>
    <w:p>
      <w:pPr>
        <w:spacing w:before="0" w:after="0"/>
      </w:pPr>
    </w:p>
    <w:p>
      <w:r>
        <w:t xml:space="preserve">Pomoći Općine Bednja iznose 1.588.501,56, a proračunskog korisnika 885,60 (financiranje predškoslkog obrazovanja).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57.824,69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55.666,32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96,3</w:t>
            </w:r>
          </w:p>
        </w:tc>
      </w:tr>
    </w:tbl>
    <w:p>
      <w:pPr>
        <w:spacing w:before="0" w:after="0"/>
      </w:pPr>
    </w:p>
    <w:p>
      <w:r>
        <w:t xml:space="preserve">Prihodi se odnose na udio roditelja u sufinanciranju pohađanja djece u vrtić i u ukupnom omjeru su prihod proračunskog korisnika.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1.566.285,45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1.852.745,22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118,3</w:t>
            </w:r>
          </w:p>
        </w:tc>
      </w:tr>
    </w:tbl>
    <w:p>
      <w:pPr>
        <w:spacing w:before="0" w:after="0"/>
      </w:pPr>
    </w:p>
    <w:p>
      <w:r>
        <w:t xml:space="preserve">Rashodi poslovanja iznose 1.852.745,22 od čega se na Općinu Bednja odnosi 1.521.138,88 (1.788.550,28 umanjeno za unutargrupne transakcije od 267.411,40) te na dječji vrtić u iznosu od 331.606,34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422.481,08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598.902,60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141,8</w:t>
            </w:r>
          </w:p>
        </w:tc>
      </w:tr>
    </w:tbl>
    <w:p>
      <w:pPr>
        <w:spacing w:before="0" w:after="0"/>
      </w:pPr>
    </w:p>
    <w:p>
      <w:r>
        <w:t xml:space="preserve">Rashodi za zaposlene Općine Bednja iznose 348.634,73, dok proračunskog korsnika iznose 250.267,87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718.524,42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873.621,22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121,6</w:t>
            </w:r>
          </w:p>
        </w:tc>
      </w:tr>
    </w:tbl>
    <w:p>
      <w:pPr>
        <w:spacing w:before="0" w:after="0"/>
      </w:pPr>
    </w:p>
    <w:p>
      <w:r>
        <w:t xml:space="preserve">Materijalni rashodi OPćine Bednja iznose 793.045,54 dok proračunskog korisnika iznose 80.575,68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304.721,87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231.487,32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76,0</w:t>
            </w:r>
          </w:p>
        </w:tc>
      </w:tr>
    </w:tbl>
    <w:p>
      <w:pPr>
        <w:spacing w:before="0" w:after="0"/>
      </w:pPr>
    </w:p>
    <w:p>
      <w:r>
        <w:t xml:space="preserve">ukupan iznos rashoda iu iznosu od 231.487,32 odnose se na Općinu Bednja.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37.604,36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38.264,59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101,8</w:t>
            </w:r>
          </w:p>
        </w:tc>
      </w:tr>
    </w:tbl>
    <w:p>
      <w:pPr>
        <w:spacing w:before="0" w:after="0"/>
      </w:pPr>
    </w:p>
    <w:p>
      <w:r>
        <w:t xml:space="preserve">Obračunati prihodi poslovanja-nenaplaćeni u glavnini se odnose na Općinu Bednja u iznosu od 33.682,39 dok se iznos od 4.582,20 odnosi na proračunskog korisnika (sufinanciranje roditelja za vrtić za 12.2025. 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6.624,42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5.554,48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83,8</w:t>
            </w:r>
          </w:p>
        </w:tc>
      </w:tr>
    </w:tbl>
    <w:p>
      <w:pPr>
        <w:spacing w:before="0" w:after="0"/>
      </w:pPr>
    </w:p>
    <w:p>
      <w:r>
        <w:t xml:space="preserve">Prihodi se odnose u cijelosti na prihode Općine Bednja.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1.059.967,03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1.463.160,06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138,0</w:t>
            </w:r>
          </w:p>
        </w:tc>
      </w:tr>
    </w:tbl>
    <w:p>
      <w:pPr>
        <w:spacing w:before="0" w:after="0"/>
      </w:pPr>
    </w:p>
    <w:p>
      <w:r>
        <w:t xml:space="preserve">Rashodi za nabavku nefinancijske imovine u glavnini se odnose na Općinu Bednja u iznosu od 1.462.733,39 odnosno 99,93 % .</w:t>
      </w:r>
    </w:p>
    <w:p>
      <w:r>
        <w:t xml:space="preserve">Proračunski korisnik ima rashoda u iznosu od 426,67 odnosno 0,03%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98.573,54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96.476,48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97,9</w:t>
            </w:r>
          </w:p>
        </w:tc>
      </w:tr>
    </w:tbl>
    <w:p>
      <w:pPr>
        <w:spacing w:before="0" w:after="0"/>
      </w:pPr>
    </w:p>
    <w:p>
      <w:r>
        <w:t xml:space="preserve">Ukupni iznos izdataka u iznosu od 96.476,48 odnose se na Općinu Bednja kao povrat glavnice primljenih zajmova za izgradnju dječjeg vrtića i kao povrat duga za povrat poreza.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9.065.856,82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10.025.983,98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110,6</w:t>
            </w:r>
          </w:p>
        </w:tc>
      </w:tr>
    </w:tbl>
    <w:p>
      <w:pPr>
        <w:spacing w:before="0" w:after="0"/>
      </w:pPr>
    </w:p>
    <w:p>
      <w:r>
        <w:t xml:space="preserve">Ukupna imovina iznosi 10.025.983,98 od čega se iznos od 9.988.518,71 odnosi na Općinu Bednja, te iznos od 37.465,27 na proračunskog korisnika.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555.143,81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519.708,72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93,6</w:t>
            </w:r>
          </w:p>
        </w:tc>
      </w:tr>
    </w:tbl>
    <w:p>
      <w:pPr>
        <w:spacing w:before="0" w:after="0"/>
      </w:pPr>
    </w:p>
    <w:p>
      <w:r>
        <w:t xml:space="preserve">Financijska imovina iznosi 519.708,72 od čega se na Općinu Bednja odnosi 490.537,70, a na proračunskog korisnika iznos od 29.171,02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(šifre 1111 do 1114)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182.008,82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118.798,86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65,3</w:t>
            </w:r>
          </w:p>
        </w:tc>
      </w:tr>
    </w:tbl>
    <w:p>
      <w:pPr>
        <w:spacing w:before="0" w:after="0"/>
      </w:pPr>
    </w:p>
    <w:p>
      <w:r>
        <w:t xml:space="preserve">Novac u banci iznosi 118.798,86 od čega na Općinu Bednja 94.236,49 a na proračunskog korsnika 24.562,37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blagajni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503,9</w:t>
            </w:r>
          </w:p>
        </w:tc>
      </w:tr>
    </w:tbl>
    <w:p>
      <w:pPr>
        <w:spacing w:before="0" w:after="0"/>
      </w:pPr>
    </w:p>
    <w:p>
      <w:r>
        <w:t xml:space="preserve">Novac u blagajni iznosi 257,39 od čega u  Općini Bednja 230,94 i kod proračunskog korisnika 26,45.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instrumenti - dionice i udjeli u glavnici (šifre 15X1+15X2-159)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333.958,46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362.044,26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108,4</w:t>
            </w:r>
          </w:p>
        </w:tc>
      </w:tr>
    </w:tbl>
    <w:p>
      <w:pPr>
        <w:spacing w:before="0" w:after="0"/>
      </w:pPr>
    </w:p>
    <w:p>
      <w:r>
        <w:t xml:space="preserve">Ukupni iznos od 362.044,26 odnosi se na Općinu Bednja.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49.777,98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27.592,01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55,4</w:t>
            </w:r>
          </w:p>
        </w:tc>
      </w:tr>
    </w:tbl>
    <w:p>
      <w:pPr>
        <w:spacing w:before="0" w:after="0"/>
      </w:pPr>
    </w:p>
    <w:p>
      <w:r>
        <w:t xml:space="preserve">U ukupnom iznosu od 27.592,01 na Općinu Bednja odnosi se 23.009,81 a na proračunskog korisnika 4.582,20.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745.671,23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751.505,26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100,8</w:t>
            </w:r>
          </w:p>
        </w:tc>
      </w:tr>
    </w:tbl>
    <w:p>
      <w:pPr>
        <w:spacing w:before="0" w:after="0"/>
      </w:pPr>
    </w:p>
    <w:p>
      <w:r>
        <w:t xml:space="preserve">Od ukupnih obveza na Općinu Bednja odnosi se 725.167,17, a na proračunskog korsinika 26.338,09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kredite i zajmove (šifre 26X1+26X2)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248.128,09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151.651,60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61,1</w:t>
            </w:r>
          </w:p>
        </w:tc>
      </w:tr>
    </w:tbl>
    <w:p>
      <w:pPr>
        <w:spacing w:before="0" w:after="0"/>
      </w:pPr>
    </w:p>
    <w:p>
      <w:r>
        <w:t xml:space="preserve">Obveze za kredite i zajmove odnose se na Općinu Bednja za otplatu dugoročnog zajma.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5.128,48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7.451,43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145,3</w:t>
            </w:r>
          </w:p>
        </w:tc>
      </w:tr>
    </w:tbl>
    <w:p>
      <w:pPr>
        <w:spacing w:before="0" w:after="0"/>
      </w:pPr>
    </w:p>
    <w:p>
      <w:r>
        <w:t xml:space="preserve">Obveze  za predujmove, jamčevine iznose 7.451,43 odnose se na Općinu Bednja.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Predškolsko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343.940,37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357.717,01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104,0</w:t>
            </w:r>
          </w:p>
        </w:tc>
      </w:tr>
    </w:tbl>
    <w:p>
      <w:pPr>
        <w:spacing w:before="0" w:after="0"/>
      </w:pPr>
    </w:p>
    <w:p>
      <w:r>
        <w:t xml:space="preserve">U ukupnom iznosu troškova od 357.717,01 većina se odnosi na proračunskog korisnika u iznosu od 332.033,01 dok se iznos od 25.684,00 odnosi na Općinu Bednja.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Ukupan iznos smanjenja od 44,38 odnosi se na  Općinu Bednja.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6.153,25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smanjenja proizvedene dugotrajne imovine u iznosu od 6.132,13 odnosi se na Općinu Bendja, a iznos od 21,12 na proračunskog korisnika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 ukupnog iznosa smanjenja sitnog inventara iznos od 604,98 odnosi se na Općinu Bednja, a iznos od 385,61 na proračunskog korisnika.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106.419,66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2025. godine iznosi 106.419,66 eura od čega se sav iznos odnosi na Opoćinu Bednja, odnosno proračunski korisnik nema dospjelih obveza na kraju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Unutar grupne transakcije koje su u izvještajnom razdoblju eliminirane evidentirane su na kontima Općine Bednja, odnosno na kontu 367 Prijenosi proračunskim korisnicima iz nadležnog proračuna za financiranje rashoda poslovanja i iznose 267.411,40, odnosno na kontima 671 Prihodi iz nadležnog proračuna za financiranje redovne djelatnosti evidentirane kod proračunskog korisnika i iznose 267.411,40.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Manjak prihoda i primitaka u 2025. godini iznosi 170.265,89 eura od čega je :</w:t>
      </w:r>
    </w:p>
    <w:p>
      <w:r>
        <w:t xml:space="preserve">Općina Bednja manjak iznosi 162.196,20</w:t>
      </w:r>
    </w:p>
    <w:p>
      <w:r>
        <w:t xml:space="preserve">Dječji Vrtić Zibeljko manjak iznosi 8.069,69</w:t>
      </w:r>
    </w:p>
    <w:p>
      <w:r>
        <w:t xml:space="preserve">Uključujući prenesene manjkove odnosno viškove ukupni manjak na kraju godine iznosi 473.589,12 eura od čega je:</w:t>
      </w:r>
    </w:p>
    <w:p>
      <w:r>
        <w:t xml:space="preserve">Općina Bednja ukupni manjak iznosi 471.839,84</w:t>
      </w:r>
    </w:p>
    <w:p>
      <w:r>
        <w:t xml:space="preserve">Dječji vrtić Zibeljko manjak iznosi 1.749,28 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aa68e9c2da4402" /></Relationships>
</file>